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E2E75" w14:textId="16C0B429" w:rsidR="008D190E" w:rsidRDefault="00F0000F">
      <w:pPr>
        <w:rPr>
          <w:b/>
          <w:sz w:val="40"/>
        </w:rPr>
      </w:pPr>
      <w:r w:rsidRPr="00F0000F">
        <w:rPr>
          <w:b/>
          <w:sz w:val="40"/>
        </w:rPr>
        <w:drawing>
          <wp:anchor distT="0" distB="0" distL="114300" distR="114300" simplePos="0" relativeHeight="251658240" behindDoc="0" locked="0" layoutInCell="1" allowOverlap="1" wp14:anchorId="32952BAF" wp14:editId="4EA3BD01">
            <wp:simplePos x="0" y="0"/>
            <wp:positionH relativeFrom="margin">
              <wp:posOffset>5478780</wp:posOffset>
            </wp:positionH>
            <wp:positionV relativeFrom="margin">
              <wp:posOffset>106680</wp:posOffset>
            </wp:positionV>
            <wp:extent cx="693420" cy="530225"/>
            <wp:effectExtent l="0" t="0" r="0" b="3175"/>
            <wp:wrapSquare wrapText="bothSides"/>
            <wp:docPr id="6" name="Picture 8" descr="Open Standalone 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Open Standalone 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3420" cy="530225"/>
                    </a:xfrm>
                    <a:prstGeom prst="rect">
                      <a:avLst/>
                    </a:prstGeom>
                    <a:noFill/>
                    <a:ln w="9525">
                      <a:noFill/>
                      <a:miter lim="800000"/>
                      <a:headEnd/>
                      <a:tailEnd/>
                    </a:ln>
                  </pic:spPr>
                </pic:pic>
              </a:graphicData>
            </a:graphic>
          </wp:anchor>
        </w:drawing>
      </w:r>
      <w:r w:rsidR="008D190E" w:rsidRPr="008D190E">
        <w:rPr>
          <w:b/>
          <w:sz w:val="40"/>
        </w:rPr>
        <w:drawing>
          <wp:inline distT="0" distB="0" distL="0" distR="0" wp14:anchorId="3B47FD7E" wp14:editId="0ED2C15F">
            <wp:extent cx="533370" cy="57150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247" cy="586369"/>
                    </a:xfrm>
                    <a:prstGeom prst="rect">
                      <a:avLst/>
                    </a:prstGeom>
                  </pic:spPr>
                </pic:pic>
              </a:graphicData>
            </a:graphic>
          </wp:inline>
        </w:drawing>
      </w:r>
      <w:r w:rsidRPr="00F0000F">
        <w:rPr>
          <w:noProof/>
        </w:rPr>
        <w:t xml:space="preserve"> </w:t>
      </w:r>
    </w:p>
    <w:p w14:paraId="0F7E0F29" w14:textId="465124D1" w:rsidR="0099689F" w:rsidRPr="003B33A4" w:rsidRDefault="0099689F">
      <w:pPr>
        <w:rPr>
          <w:b/>
          <w:sz w:val="28"/>
        </w:rPr>
      </w:pPr>
      <w:r w:rsidRPr="003B33A4">
        <w:rPr>
          <w:b/>
          <w:sz w:val="40"/>
        </w:rPr>
        <w:t>Helpful Links on California’s Cap and Trade Program</w:t>
      </w:r>
    </w:p>
    <w:p w14:paraId="43C0ADBD" w14:textId="77777777" w:rsidR="003B33A4" w:rsidRPr="003B33A4" w:rsidRDefault="003B33A4" w:rsidP="003B33A4">
      <w:pPr>
        <w:rPr>
          <w:b/>
          <w:sz w:val="28"/>
        </w:rPr>
      </w:pPr>
      <w:r w:rsidRPr="003B33A4">
        <w:rPr>
          <w:b/>
          <w:sz w:val="28"/>
        </w:rPr>
        <w:t>California Cap and Trade Program – a Summary</w:t>
      </w:r>
    </w:p>
    <w:p w14:paraId="51D5F3AA" w14:textId="77777777" w:rsidR="003B33A4" w:rsidRDefault="003B33A4" w:rsidP="003B33A4">
      <w:r>
        <w:t xml:space="preserve">The Cap-and-Trade Program is a key element of California’s climate plan. It sets a statewide limit on sources responsible for 85 percent of California’s greenhouse gas emissions and establishes a price signal needed to drive long-term investment in cleaner fuels and more efficient use of energy. The program is designed to provide covered entities the flexibility to seek out and implement the lowest cost options to reduce emissions. </w:t>
      </w:r>
      <w:hyperlink r:id="rId8" w:history="1">
        <w:r w:rsidRPr="003A3D3F">
          <w:rPr>
            <w:rStyle w:val="Hyperlink"/>
          </w:rPr>
          <w:t>https://www.arb.ca.gov/cc/capandtrade/guidance/cap_trade_overview.pdf</w:t>
        </w:r>
      </w:hyperlink>
      <w:r>
        <w:t xml:space="preserve"> </w:t>
      </w:r>
    </w:p>
    <w:p w14:paraId="4BA5EFC2" w14:textId="17F1AFF4" w:rsidR="0099689F" w:rsidRPr="003B33A4" w:rsidRDefault="0099689F">
      <w:pPr>
        <w:rPr>
          <w:b/>
          <w:sz w:val="28"/>
        </w:rPr>
      </w:pPr>
      <w:r w:rsidRPr="003B33A4">
        <w:rPr>
          <w:b/>
          <w:sz w:val="28"/>
        </w:rPr>
        <w:t xml:space="preserve">Facts About </w:t>
      </w:r>
      <w:proofErr w:type="gramStart"/>
      <w:r w:rsidRPr="003B33A4">
        <w:rPr>
          <w:b/>
          <w:sz w:val="28"/>
        </w:rPr>
        <w:t>The</w:t>
      </w:r>
      <w:proofErr w:type="gramEnd"/>
      <w:r w:rsidRPr="003B33A4">
        <w:rPr>
          <w:b/>
          <w:sz w:val="28"/>
        </w:rPr>
        <w:t xml:space="preserve"> Linked Cap-and-Trade Programs </w:t>
      </w:r>
    </w:p>
    <w:p w14:paraId="34348E78" w14:textId="1279793C" w:rsidR="00345DE2" w:rsidRDefault="0099689F">
      <w:r>
        <w:t xml:space="preserve">California’s Cap-and-Trade Program linked with Québec’s Cap-and-Trade System on </w:t>
      </w:r>
      <w:proofErr w:type="gramStart"/>
      <w:r>
        <w:t>January 1, 2014, and</w:t>
      </w:r>
      <w:proofErr w:type="gramEnd"/>
      <w:r>
        <w:t xml:space="preserve"> will link with Ontario’s Cap-and-Trade Program on January 1, 2018. This fact sheet provides information on the impacts of linkage.</w:t>
      </w:r>
      <w:r>
        <w:t xml:space="preserve"> </w:t>
      </w:r>
      <w:hyperlink r:id="rId9" w:history="1">
        <w:r w:rsidRPr="003A3D3F">
          <w:rPr>
            <w:rStyle w:val="Hyperlink"/>
          </w:rPr>
          <w:t>https://www.arb.ca.gov/cc/capandtrade/linkage/linkage_fact_sheet.pdf</w:t>
        </w:r>
      </w:hyperlink>
      <w:r>
        <w:t xml:space="preserve"> </w:t>
      </w:r>
    </w:p>
    <w:p w14:paraId="5984552A" w14:textId="77777777" w:rsidR="0099689F" w:rsidRPr="003B33A4" w:rsidRDefault="0099689F">
      <w:pPr>
        <w:rPr>
          <w:b/>
          <w:sz w:val="28"/>
        </w:rPr>
      </w:pPr>
      <w:r w:rsidRPr="003B33A4">
        <w:rPr>
          <w:b/>
          <w:sz w:val="28"/>
        </w:rPr>
        <w:t>California’s Cap-and-Trade Program</w:t>
      </w:r>
      <w:r w:rsidRPr="003B33A4">
        <w:rPr>
          <w:b/>
          <w:sz w:val="28"/>
        </w:rPr>
        <w:t>: F</w:t>
      </w:r>
      <w:r w:rsidRPr="003B33A4">
        <w:rPr>
          <w:b/>
          <w:sz w:val="28"/>
        </w:rPr>
        <w:t xml:space="preserve">uel Facts </w:t>
      </w:r>
    </w:p>
    <w:p w14:paraId="592CBDCD" w14:textId="2DD51B97" w:rsidR="0099689F" w:rsidRDefault="0099689F">
      <w:r>
        <w:t>Starting on January 1, 2015, fuels, such as gasoline, diesel and natural gas, will be covered under the Cap-and-Trade Program. This will require fuel suppliers to reduce greenhouse gas emissions by supplying low carbon fuels or purchasing pollution permits, called “allowances,” to cover the greenhouse gases produced when the conventional petroleum-based fuel they supply is burned.</w:t>
      </w:r>
      <w:r>
        <w:t xml:space="preserve"> </w:t>
      </w:r>
      <w:hyperlink r:id="rId10" w:history="1">
        <w:r w:rsidRPr="003A3D3F">
          <w:rPr>
            <w:rStyle w:val="Hyperlink"/>
          </w:rPr>
          <w:t>https://www.arb.ca.gov/cc/capandtrade/guidance/facts_fuels_under_the_cap.pdf</w:t>
        </w:r>
      </w:hyperlink>
      <w:r>
        <w:t xml:space="preserve"> </w:t>
      </w:r>
    </w:p>
    <w:p w14:paraId="66EC3BB2" w14:textId="583224BD" w:rsidR="0099689F" w:rsidRPr="003B33A4" w:rsidRDefault="00DB20D7">
      <w:pPr>
        <w:rPr>
          <w:b/>
          <w:sz w:val="28"/>
        </w:rPr>
      </w:pPr>
      <w:r w:rsidRPr="003B33A4">
        <w:rPr>
          <w:b/>
          <w:sz w:val="28"/>
        </w:rPr>
        <w:t>California’s 2017 Climate Change Scoping Plan Executive Summary</w:t>
      </w:r>
    </w:p>
    <w:p w14:paraId="16B852C9" w14:textId="04D2A20E" w:rsidR="00DB20D7" w:rsidRDefault="00DB20D7">
      <w:r>
        <w:t xml:space="preserve">The </w:t>
      </w:r>
      <w:r>
        <w:t xml:space="preserve">Scoping Plan </w:t>
      </w:r>
      <w:r>
        <w:t>strategy for achieving California’s 2030 greenhouse gas target</w:t>
      </w:r>
      <w:r>
        <w:t xml:space="preserve"> of 40% below 1990 emission levels.</w:t>
      </w:r>
      <w:r w:rsidR="003B33A4">
        <w:t xml:space="preserve"> Th</w:t>
      </w:r>
      <w:r w:rsidR="0010372E">
        <w:t>e plan is multifaceted, crossing nearly all sources of emissions. Elements of the plan include:</w:t>
      </w:r>
    </w:p>
    <w:p w14:paraId="1F9F9D1F" w14:textId="62CEDAC5" w:rsidR="0010372E" w:rsidRDefault="0010372E" w:rsidP="0010372E">
      <w:pPr>
        <w:pStyle w:val="ListParagraph"/>
        <w:numPr>
          <w:ilvl w:val="0"/>
          <w:numId w:val="1"/>
        </w:numPr>
      </w:pPr>
      <w:r>
        <w:t>Cap and trade: a firm limit on 85% of emissions</w:t>
      </w:r>
    </w:p>
    <w:p w14:paraId="34AB9A66" w14:textId="34B0C07C" w:rsidR="0010372E" w:rsidRDefault="0010372E" w:rsidP="0010372E">
      <w:pPr>
        <w:pStyle w:val="ListParagraph"/>
        <w:numPr>
          <w:ilvl w:val="0"/>
          <w:numId w:val="1"/>
        </w:numPr>
      </w:pPr>
      <w:r>
        <w:t>Clean energy: at least 50% renewable electricity</w:t>
      </w:r>
    </w:p>
    <w:p w14:paraId="7BD53148" w14:textId="1B60B2B6" w:rsidR="0010372E" w:rsidRDefault="0010372E" w:rsidP="0010372E">
      <w:pPr>
        <w:pStyle w:val="ListParagraph"/>
        <w:numPr>
          <w:ilvl w:val="0"/>
          <w:numId w:val="1"/>
        </w:numPr>
      </w:pPr>
      <w:r>
        <w:t xml:space="preserve">Building efficiency: double energy efficiency in existing </w:t>
      </w:r>
      <w:proofErr w:type="spellStart"/>
      <w:r>
        <w:t>buildins</w:t>
      </w:r>
      <w:proofErr w:type="spellEnd"/>
    </w:p>
    <w:p w14:paraId="67B4A098" w14:textId="6612A411" w:rsidR="0010372E" w:rsidRDefault="0010372E" w:rsidP="0010372E">
      <w:pPr>
        <w:pStyle w:val="ListParagraph"/>
        <w:numPr>
          <w:ilvl w:val="0"/>
          <w:numId w:val="1"/>
        </w:numPr>
      </w:pPr>
      <w:r>
        <w:t>Clean fuels: 18% reduction in carbon intensity</w:t>
      </w:r>
    </w:p>
    <w:p w14:paraId="7DFB7283" w14:textId="40E11979" w:rsidR="0010372E" w:rsidRDefault="0010372E" w:rsidP="0010372E">
      <w:pPr>
        <w:pStyle w:val="ListParagraph"/>
        <w:numPr>
          <w:ilvl w:val="0"/>
          <w:numId w:val="1"/>
        </w:numPr>
      </w:pPr>
      <w:r>
        <w:t>Urban planning: high density, transit-oriented housing, walkable and bikeable communities</w:t>
      </w:r>
    </w:p>
    <w:p w14:paraId="169B06AF" w14:textId="508DD43B" w:rsidR="0010372E" w:rsidRDefault="0010372E" w:rsidP="0010372E">
      <w:pPr>
        <w:pStyle w:val="ListParagraph"/>
        <w:numPr>
          <w:ilvl w:val="0"/>
          <w:numId w:val="1"/>
        </w:numPr>
      </w:pPr>
      <w:r>
        <w:t>Clean cars: over 4 million affordable electric cars on the road; on-road oil demand reduced by half</w:t>
      </w:r>
    </w:p>
    <w:p w14:paraId="6C13C275" w14:textId="7141FA60" w:rsidR="0010372E" w:rsidRDefault="0010372E" w:rsidP="0010372E">
      <w:pPr>
        <w:pStyle w:val="ListParagraph"/>
        <w:numPr>
          <w:ilvl w:val="0"/>
          <w:numId w:val="1"/>
        </w:numPr>
      </w:pPr>
      <w:r>
        <w:t>Clean transit: 100% of new buses are zero-emission</w:t>
      </w:r>
    </w:p>
    <w:p w14:paraId="0B2F2A4B" w14:textId="0AB91931" w:rsidR="0010372E" w:rsidRDefault="0010372E" w:rsidP="0010372E">
      <w:pPr>
        <w:pStyle w:val="ListParagraph"/>
        <w:numPr>
          <w:ilvl w:val="0"/>
          <w:numId w:val="1"/>
        </w:numPr>
      </w:pPr>
      <w:r>
        <w:t>Sustainable freight: transitioning to zero emissions everywhere feasible</w:t>
      </w:r>
    </w:p>
    <w:p w14:paraId="7A0819FB" w14:textId="6D294398" w:rsidR="0010372E" w:rsidRDefault="0010372E" w:rsidP="0010372E">
      <w:pPr>
        <w:pStyle w:val="ListParagraph"/>
        <w:numPr>
          <w:ilvl w:val="0"/>
          <w:numId w:val="1"/>
        </w:numPr>
      </w:pPr>
      <w:r>
        <w:t>Natural and working lands restoration: 15-20 million metric tons of reductions</w:t>
      </w:r>
    </w:p>
    <w:p w14:paraId="63131E0B" w14:textId="27356E63" w:rsidR="0010372E" w:rsidRDefault="0010372E" w:rsidP="0010372E">
      <w:pPr>
        <w:pStyle w:val="ListParagraph"/>
        <w:numPr>
          <w:ilvl w:val="0"/>
          <w:numId w:val="1"/>
        </w:numPr>
      </w:pPr>
      <w:r>
        <w:t>Reduce “super pollutants”: 40% reduction in methane and HFCs</w:t>
      </w:r>
    </w:p>
    <w:p w14:paraId="47D8A069" w14:textId="25931E4D" w:rsidR="0010372E" w:rsidRDefault="0010372E" w:rsidP="0010372E">
      <w:hyperlink r:id="rId11" w:history="1">
        <w:r w:rsidRPr="003A3D3F">
          <w:rPr>
            <w:rStyle w:val="Hyperlink"/>
          </w:rPr>
          <w:t>https://www.arb.ca.gov/cc/scopingplan/scoping_plan_2017_es.pdf</w:t>
        </w:r>
      </w:hyperlink>
      <w:r>
        <w:t xml:space="preserve"> </w:t>
      </w:r>
    </w:p>
    <w:p w14:paraId="7AEAB032" w14:textId="77777777" w:rsidR="00F0000F" w:rsidRDefault="00F0000F" w:rsidP="00F0000F">
      <w:pPr>
        <w:rPr>
          <w:b/>
          <w:sz w:val="28"/>
        </w:rPr>
      </w:pPr>
    </w:p>
    <w:bookmarkStart w:id="0" w:name="_GoBack"/>
    <w:bookmarkEnd w:id="0"/>
    <w:p w14:paraId="10A1BCE5" w14:textId="048845CE" w:rsidR="00F0000F" w:rsidRPr="003B33A4" w:rsidRDefault="00F0000F" w:rsidP="00F0000F">
      <w:pPr>
        <w:rPr>
          <w:b/>
          <w:sz w:val="28"/>
        </w:rPr>
      </w:pPr>
      <w:r>
        <w:rPr>
          <w:b/>
          <w:sz w:val="28"/>
        </w:rPr>
        <w:fldChar w:fldCharType="begin"/>
      </w:r>
      <w:r>
        <w:rPr>
          <w:b/>
          <w:sz w:val="28"/>
        </w:rPr>
        <w:instrText xml:space="preserve"> HYPERLINK "https://priceoncarbon.org/" </w:instrText>
      </w:r>
      <w:r>
        <w:rPr>
          <w:b/>
          <w:sz w:val="28"/>
        </w:rPr>
      </w:r>
      <w:r>
        <w:rPr>
          <w:b/>
          <w:sz w:val="28"/>
        </w:rPr>
        <w:fldChar w:fldCharType="separate"/>
      </w:r>
      <w:r w:rsidRPr="00F0000F">
        <w:rPr>
          <w:rStyle w:val="Hyperlink"/>
          <w:b/>
          <w:sz w:val="28"/>
        </w:rPr>
        <w:t>PriceonCarbon.org</w:t>
      </w:r>
      <w:r>
        <w:rPr>
          <w:b/>
          <w:sz w:val="28"/>
        </w:rPr>
        <w:fldChar w:fldCharType="end"/>
      </w:r>
      <w:r>
        <w:rPr>
          <w:b/>
          <w:sz w:val="28"/>
        </w:rPr>
        <w:t xml:space="preserve"> for general information on carbon pricing</w:t>
      </w:r>
    </w:p>
    <w:sectPr w:rsidR="00F0000F" w:rsidRPr="003B33A4" w:rsidSect="00F0000F">
      <w:pgSz w:w="12240" w:h="15840"/>
      <w:pgMar w:top="1170" w:right="108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0572A"/>
    <w:multiLevelType w:val="hybridMultilevel"/>
    <w:tmpl w:val="4644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9F"/>
    <w:rsid w:val="0010372E"/>
    <w:rsid w:val="00345DE2"/>
    <w:rsid w:val="003B33A4"/>
    <w:rsid w:val="008D190E"/>
    <w:rsid w:val="0099689F"/>
    <w:rsid w:val="00DB20D7"/>
    <w:rsid w:val="00F0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3E3F"/>
  <w15:chartTrackingRefBased/>
  <w15:docId w15:val="{06B12D81-6F3D-4A2D-83A4-9C03AB19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89F"/>
    <w:rPr>
      <w:color w:val="0563C1" w:themeColor="hyperlink"/>
      <w:u w:val="single"/>
    </w:rPr>
  </w:style>
  <w:style w:type="character" w:styleId="UnresolvedMention">
    <w:name w:val="Unresolved Mention"/>
    <w:basedOn w:val="DefaultParagraphFont"/>
    <w:uiPriority w:val="99"/>
    <w:semiHidden/>
    <w:unhideWhenUsed/>
    <w:rsid w:val="0099689F"/>
    <w:rPr>
      <w:color w:val="808080"/>
      <w:shd w:val="clear" w:color="auto" w:fill="E6E6E6"/>
    </w:rPr>
  </w:style>
  <w:style w:type="paragraph" w:styleId="ListParagraph">
    <w:name w:val="List Paragraph"/>
    <w:basedOn w:val="Normal"/>
    <w:uiPriority w:val="34"/>
    <w:qFormat/>
    <w:rsid w:val="00103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ca.gov/cc/capandtrade/guidance/cap_trade_overview.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arb.ca.gov/cc/scopingplan/scoping_plan_2017_es.pdf" TargetMode="External"/><Relationship Id="rId5" Type="http://schemas.openxmlformats.org/officeDocument/2006/relationships/hyperlink" Target="http://www.lwv.org/files/images/logos/LWV_COLOR_STANDALONE.png" TargetMode="External"/><Relationship Id="rId10" Type="http://schemas.openxmlformats.org/officeDocument/2006/relationships/hyperlink" Target="https://www.arb.ca.gov/cc/capandtrade/guidance/facts_fuels_under_the_cap.pdf" TargetMode="External"/><Relationship Id="rId4" Type="http://schemas.openxmlformats.org/officeDocument/2006/relationships/webSettings" Target="webSettings.xml"/><Relationship Id="rId9" Type="http://schemas.openxmlformats.org/officeDocument/2006/relationships/hyperlink" Target="https://www.arb.ca.gov/cc/capandtrade/linkage/linkage_fact_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diz@priceoncarbon.org</dc:creator>
  <cp:keywords/>
  <dc:description/>
  <cp:lastModifiedBy>diz@priceoncarbon.org</cp:lastModifiedBy>
  <cp:revision>5</cp:revision>
  <dcterms:created xsi:type="dcterms:W3CDTF">2018-05-08T15:43:00Z</dcterms:created>
  <dcterms:modified xsi:type="dcterms:W3CDTF">2018-05-08T17:23:00Z</dcterms:modified>
</cp:coreProperties>
</file>